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F5465CB"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4E76AD">
        <w:rPr>
          <w:rFonts w:ascii="Arial" w:hAnsi="Arial" w:cs="Arial"/>
          <w:b/>
          <w:sz w:val="22"/>
          <w:szCs w:val="24"/>
        </w:rPr>
        <w:t xml:space="preserve">Meeting </w:t>
      </w:r>
      <w:r w:rsidR="00C50604">
        <w:rPr>
          <w:rFonts w:ascii="Arial" w:hAnsi="Arial" w:cs="Arial"/>
          <w:b/>
          <w:sz w:val="22"/>
          <w:szCs w:val="24"/>
        </w:rPr>
        <w:t>AH 1801</w:t>
      </w:r>
      <w:r w:rsidR="00CE5F5F" w:rsidRPr="008E769D">
        <w:rPr>
          <w:rFonts w:ascii="Arial" w:hAnsi="Arial" w:cs="Arial"/>
          <w:b/>
          <w:sz w:val="22"/>
          <w:szCs w:val="24"/>
        </w:rPr>
        <w:t xml:space="preserve"> </w:t>
      </w:r>
      <w:r w:rsidR="00CE5F5F" w:rsidRPr="008E769D">
        <w:rPr>
          <w:rFonts w:ascii="Arial" w:hAnsi="Arial" w:cs="Arial"/>
          <w:b/>
          <w:sz w:val="22"/>
          <w:szCs w:val="24"/>
        </w:rPr>
        <w:tab/>
      </w:r>
      <w:r w:rsidR="00BC27C3" w:rsidRPr="00BC27C3">
        <w:rPr>
          <w:rFonts w:ascii="Arial" w:hAnsi="Arial" w:cs="Arial"/>
          <w:b/>
          <w:sz w:val="22"/>
          <w:szCs w:val="24"/>
        </w:rPr>
        <w:t>R1-1800887</w:t>
      </w:r>
    </w:p>
    <w:p w14:paraId="1DBE0C1E" w14:textId="56FEA18D" w:rsidR="00BC335A" w:rsidRPr="00BC335A" w:rsidRDefault="00C50604" w:rsidP="00BC335A">
      <w:pPr>
        <w:pStyle w:val="Footer"/>
        <w:jc w:val="both"/>
        <w:rPr>
          <w:rFonts w:cs="Arial"/>
          <w:i w:val="0"/>
          <w:noProof w:val="0"/>
          <w:sz w:val="22"/>
          <w:szCs w:val="24"/>
        </w:rPr>
      </w:pPr>
      <w:r>
        <w:rPr>
          <w:rFonts w:cs="Arial"/>
          <w:i w:val="0"/>
          <w:noProof w:val="0"/>
          <w:sz w:val="22"/>
          <w:szCs w:val="24"/>
        </w:rPr>
        <w:t>January</w:t>
      </w:r>
      <w:r w:rsidR="0061297E">
        <w:rPr>
          <w:rFonts w:cs="Arial"/>
          <w:i w:val="0"/>
          <w:noProof w:val="0"/>
          <w:sz w:val="22"/>
          <w:szCs w:val="24"/>
        </w:rPr>
        <w:t xml:space="preserve"> 2</w:t>
      </w:r>
      <w:r>
        <w:rPr>
          <w:rFonts w:cs="Arial"/>
          <w:i w:val="0"/>
          <w:noProof w:val="0"/>
          <w:sz w:val="22"/>
          <w:szCs w:val="24"/>
        </w:rPr>
        <w:t>2</w:t>
      </w:r>
      <w:r>
        <w:rPr>
          <w:rFonts w:cs="Arial"/>
          <w:i w:val="0"/>
          <w:noProof w:val="0"/>
          <w:sz w:val="22"/>
          <w:szCs w:val="24"/>
          <w:vertAlign w:val="superscript"/>
        </w:rPr>
        <w:t>nd</w:t>
      </w:r>
      <w:r w:rsidR="0061297E">
        <w:rPr>
          <w:rFonts w:cs="Arial"/>
          <w:i w:val="0"/>
          <w:noProof w:val="0"/>
          <w:sz w:val="22"/>
          <w:szCs w:val="24"/>
        </w:rPr>
        <w:t xml:space="preserve"> </w:t>
      </w:r>
      <w:r w:rsidR="00BC335A" w:rsidRPr="00BC335A">
        <w:rPr>
          <w:rFonts w:cs="Arial"/>
          <w:i w:val="0"/>
          <w:noProof w:val="0"/>
          <w:sz w:val="22"/>
          <w:szCs w:val="24"/>
        </w:rPr>
        <w:t xml:space="preserve"> –</w:t>
      </w:r>
      <w:r>
        <w:rPr>
          <w:rFonts w:cs="Arial"/>
          <w:i w:val="0"/>
          <w:noProof w:val="0"/>
          <w:sz w:val="22"/>
          <w:szCs w:val="24"/>
        </w:rPr>
        <w:t xml:space="preserve"> 26</w:t>
      </w:r>
      <w:r>
        <w:rPr>
          <w:rFonts w:cs="Arial"/>
          <w:i w:val="0"/>
          <w:noProof w:val="0"/>
          <w:sz w:val="22"/>
          <w:szCs w:val="24"/>
          <w:vertAlign w:val="superscript"/>
        </w:rPr>
        <w:t>th</w:t>
      </w:r>
      <w:r w:rsidR="00BC335A" w:rsidRPr="00BC335A">
        <w:rPr>
          <w:rFonts w:cs="Arial"/>
          <w:i w:val="0"/>
          <w:noProof w:val="0"/>
          <w:sz w:val="22"/>
          <w:szCs w:val="24"/>
        </w:rPr>
        <w:t xml:space="preserve"> 201</w:t>
      </w:r>
      <w:r>
        <w:rPr>
          <w:rFonts w:cs="Arial"/>
          <w:i w:val="0"/>
          <w:noProof w:val="0"/>
          <w:sz w:val="22"/>
          <w:szCs w:val="24"/>
        </w:rPr>
        <w:t>8</w:t>
      </w:r>
    </w:p>
    <w:p w14:paraId="2F2D8718" w14:textId="7F42E36A" w:rsidR="00CE5F5F" w:rsidRDefault="00C50604"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321491C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CF441F">
        <w:rPr>
          <w:rFonts w:ascii="Arial" w:hAnsi="Arial"/>
          <w:sz w:val="22"/>
        </w:rPr>
        <w:t>9</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7E0F39"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F441F" w:rsidRPr="00CF441F">
        <w:rPr>
          <w:rFonts w:ascii="Arial" w:hAnsi="Arial"/>
          <w:sz w:val="22"/>
        </w:rPr>
        <w:t>Support for additional periodicities in NR RRC</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D8E5D4D" w:rsidR="001F2982" w:rsidRDefault="00B524B6" w:rsidP="0088176C">
      <w:pPr>
        <w:pStyle w:val="Heading1"/>
        <w:rPr>
          <w:lang w:val="en-US"/>
        </w:rPr>
      </w:pPr>
      <w:r w:rsidRPr="008E769D">
        <w:rPr>
          <w:lang w:val="en-US"/>
        </w:rPr>
        <w:t>Introduction</w:t>
      </w:r>
    </w:p>
    <w:p w14:paraId="2295069F" w14:textId="29E5513E" w:rsidR="00CE1334" w:rsidRDefault="00CE1334" w:rsidP="00CE1334">
      <w:pPr>
        <w:rPr>
          <w:lang w:val="en-GB"/>
        </w:rPr>
      </w:pPr>
      <w:r w:rsidRPr="004E571E">
        <w:rPr>
          <w:lang w:val="en-GB"/>
        </w:rPr>
        <w:t>In a slot that</w:t>
      </w:r>
      <w:r>
        <w:rPr>
          <w:lang w:val="en-GB"/>
        </w:rPr>
        <w:t xml:space="preserve"> contains both UL and DL transmissions, guard symbols are required for the transition from DL to UL in order to allow time for the UEs to transition from tx to rx as well as to applyTiming Advance. In addition to that, guard periods protect UL transmissions from cross-link interference originating from far away gNBs due to propagation delay. In large cell deployments, the required guard symbols to prevent this cross-link interference problem may be large (e.g., 3 symbols), which may lead to a large overhead if DL to UL transitions occur in every slot (e.g., 3 out of 14 symbols leading to 21% guard overhead). </w:t>
      </w:r>
    </w:p>
    <w:p w14:paraId="4A2BBED4" w14:textId="3757FC85" w:rsidR="00CE1334" w:rsidRDefault="00CE1334" w:rsidP="00CE1334">
      <w:pPr>
        <w:rPr>
          <w:lang w:val="en-GB"/>
        </w:rPr>
      </w:pPr>
      <w:r>
        <w:rPr>
          <w:lang w:val="en-GB"/>
        </w:rPr>
        <w:t>In order to amortize the guard overhead, multi-slot periodic structures can be utilized such that not every slot has to incur the DL to UL transition overhead. An example 4-slot structure is shown below (</w:t>
      </w:r>
      <w:r>
        <w:rPr>
          <w:lang w:val="en-GB"/>
        </w:rPr>
        <w:fldChar w:fldCharType="begin"/>
      </w:r>
      <w:r>
        <w:rPr>
          <w:lang w:val="en-GB"/>
        </w:rPr>
        <w:instrText xml:space="preserve"> REF _Ref503514131 \h </w:instrText>
      </w:r>
      <w:r>
        <w:rPr>
          <w:lang w:val="en-GB"/>
        </w:rPr>
      </w:r>
      <w:r>
        <w:rPr>
          <w:lang w:val="en-GB"/>
        </w:rPr>
        <w:fldChar w:fldCharType="separate"/>
      </w:r>
      <w:r>
        <w:t xml:space="preserve">Figure </w:t>
      </w:r>
      <w:r>
        <w:rPr>
          <w:noProof/>
        </w:rPr>
        <w:t>1</w:t>
      </w:r>
      <w:r>
        <w:rPr>
          <w:lang w:val="en-GB"/>
        </w:rPr>
        <w:fldChar w:fldCharType="end"/>
      </w:r>
      <w:r>
        <w:rPr>
          <w:lang w:val="en-GB"/>
        </w:rPr>
        <w:t>), where there are two DL to UL transitions, which reduces the guard overhead by a factor of 2, while still maintaining frequent UL opportunities (e.g., every 1 ms for 30 kHz SCS). Fr</w:t>
      </w:r>
      <w:r w:rsidR="00B26615">
        <w:rPr>
          <w:lang w:val="en-GB"/>
        </w:rPr>
        <w:t>equent UL opportunities enable the following system benefits (see also [1] for further analysis).</w:t>
      </w:r>
    </w:p>
    <w:p w14:paraId="0B44A648" w14:textId="77777777" w:rsidR="00CE1334" w:rsidRDefault="00CE1334" w:rsidP="00CE1334">
      <w:pPr>
        <w:pStyle w:val="ListParagraph"/>
        <w:numPr>
          <w:ilvl w:val="0"/>
          <w:numId w:val="43"/>
        </w:numPr>
        <w:rPr>
          <w:rFonts w:ascii="Times New Roman" w:hAnsi="Times New Roman"/>
          <w:sz w:val="20"/>
          <w:szCs w:val="20"/>
          <w:lang w:val="en-GB"/>
        </w:rPr>
      </w:pPr>
      <w:r w:rsidRPr="00DE57B9">
        <w:rPr>
          <w:rFonts w:ascii="Times New Roman" w:hAnsi="Times New Roman"/>
          <w:sz w:val="20"/>
          <w:szCs w:val="20"/>
          <w:lang w:val="en-GB"/>
        </w:rPr>
        <w:t>L</w:t>
      </w:r>
      <w:r>
        <w:rPr>
          <w:rFonts w:ascii="Times New Roman" w:hAnsi="Times New Roman"/>
          <w:sz w:val="20"/>
          <w:szCs w:val="20"/>
          <w:lang w:val="en-GB"/>
        </w:rPr>
        <w:t>ower DL latency (faster HARQ RTT)</w:t>
      </w:r>
    </w:p>
    <w:p w14:paraId="63ABD4C5" w14:textId="049A5427" w:rsidR="00CE1334" w:rsidRDefault="00CE1334" w:rsidP="00CE1334">
      <w:pPr>
        <w:pStyle w:val="ListParagraph"/>
        <w:numPr>
          <w:ilvl w:val="0"/>
          <w:numId w:val="43"/>
        </w:numPr>
        <w:rPr>
          <w:rFonts w:ascii="Times New Roman" w:hAnsi="Times New Roman"/>
          <w:sz w:val="20"/>
          <w:szCs w:val="20"/>
          <w:lang w:val="en-GB"/>
        </w:rPr>
      </w:pPr>
      <w:r>
        <w:rPr>
          <w:rFonts w:ascii="Times New Roman" w:hAnsi="Times New Roman"/>
          <w:sz w:val="20"/>
          <w:szCs w:val="20"/>
          <w:lang w:val="en-GB"/>
        </w:rPr>
        <w:t xml:space="preserve">Lower UL </w:t>
      </w:r>
      <w:r w:rsidR="0029012A">
        <w:rPr>
          <w:rFonts w:ascii="Times New Roman" w:hAnsi="Times New Roman"/>
          <w:sz w:val="20"/>
          <w:szCs w:val="20"/>
          <w:lang w:val="en-GB"/>
        </w:rPr>
        <w:t>latency</w:t>
      </w:r>
      <w:r>
        <w:rPr>
          <w:rFonts w:ascii="Times New Roman" w:hAnsi="Times New Roman"/>
          <w:sz w:val="20"/>
          <w:szCs w:val="20"/>
          <w:lang w:val="en-GB"/>
        </w:rPr>
        <w:t xml:space="preserve"> (due to more frequent SR and UL transmission opportunity) </w:t>
      </w:r>
    </w:p>
    <w:p w14:paraId="520E87BF" w14:textId="77777777" w:rsidR="00CE1334" w:rsidRDefault="00CE1334" w:rsidP="00CE1334">
      <w:pPr>
        <w:pStyle w:val="ListParagraph"/>
        <w:numPr>
          <w:ilvl w:val="0"/>
          <w:numId w:val="43"/>
        </w:numPr>
        <w:rPr>
          <w:rFonts w:ascii="Times New Roman" w:hAnsi="Times New Roman"/>
          <w:sz w:val="20"/>
          <w:szCs w:val="20"/>
          <w:lang w:val="en-GB"/>
        </w:rPr>
      </w:pPr>
      <w:r>
        <w:rPr>
          <w:rFonts w:ascii="Times New Roman" w:hAnsi="Times New Roman"/>
          <w:sz w:val="20"/>
          <w:szCs w:val="20"/>
          <w:lang w:val="en-GB"/>
        </w:rPr>
        <w:t>S</w:t>
      </w:r>
      <w:r w:rsidRPr="00DE57B9">
        <w:rPr>
          <w:rFonts w:ascii="Times New Roman" w:hAnsi="Times New Roman"/>
          <w:sz w:val="20"/>
          <w:szCs w:val="20"/>
          <w:lang w:val="en-GB"/>
        </w:rPr>
        <w:t>maller number of HARQ processes</w:t>
      </w:r>
    </w:p>
    <w:p w14:paraId="127A7FBC" w14:textId="77777777" w:rsidR="00CE1334" w:rsidRPr="00DE57B9" w:rsidRDefault="00CE1334" w:rsidP="00CE1334">
      <w:pPr>
        <w:pStyle w:val="ListParagraph"/>
        <w:numPr>
          <w:ilvl w:val="0"/>
          <w:numId w:val="43"/>
        </w:numPr>
        <w:rPr>
          <w:rFonts w:ascii="Times New Roman" w:hAnsi="Times New Roman"/>
          <w:sz w:val="20"/>
          <w:szCs w:val="20"/>
          <w:lang w:val="en-GB"/>
        </w:rPr>
      </w:pPr>
      <w:r>
        <w:rPr>
          <w:rFonts w:ascii="Times New Roman" w:hAnsi="Times New Roman"/>
          <w:sz w:val="20"/>
          <w:szCs w:val="20"/>
          <w:lang w:val="en-GB"/>
        </w:rPr>
        <w:t>Faster CSI feedback</w:t>
      </w:r>
      <w:r w:rsidRPr="00DE57B9">
        <w:rPr>
          <w:rFonts w:ascii="Times New Roman" w:hAnsi="Times New Roman"/>
          <w:sz w:val="20"/>
          <w:szCs w:val="20"/>
          <w:lang w:val="en-GB"/>
        </w:rPr>
        <w:t xml:space="preserve">  </w:t>
      </w:r>
    </w:p>
    <w:p w14:paraId="0082FE82" w14:textId="407639BD" w:rsidR="00CE1334" w:rsidRDefault="0020489B" w:rsidP="00CE1334">
      <w:pPr>
        <w:jc w:val="center"/>
        <w:rPr>
          <w:lang w:val="en-GB"/>
        </w:rPr>
      </w:pPr>
      <w:r>
        <w:rPr>
          <w:lang w:val="en-GB"/>
        </w:rPr>
        <w:object w:dxaOrig="6376" w:dyaOrig="1411" w14:anchorId="18A4F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70.5pt" o:ole="">
            <v:imagedata r:id="rId12" o:title=""/>
          </v:shape>
          <o:OLEObject Type="Embed" ProgID="Visio.Drawing.11" ShapeID="_x0000_i1025" DrawAspect="Content" ObjectID="_1577293393" r:id="rId13"/>
        </w:object>
      </w:r>
    </w:p>
    <w:p w14:paraId="3C6A5EF9" w14:textId="77777777" w:rsidR="00CE1334" w:rsidRDefault="00CE1334" w:rsidP="00CE1334">
      <w:pPr>
        <w:pStyle w:val="Caption"/>
        <w:jc w:val="center"/>
      </w:pPr>
      <w:bookmarkStart w:id="1" w:name="_Ref503514131"/>
      <w:r>
        <w:t xml:space="preserve">Figure </w:t>
      </w:r>
      <w:fldSimple w:instr=" SEQ Figure \* ARABIC ">
        <w:r>
          <w:rPr>
            <w:noProof/>
          </w:rPr>
          <w:t>1</w:t>
        </w:r>
      </w:fldSimple>
      <w:bookmarkEnd w:id="1"/>
      <w:r>
        <w:t>. 4-slot Periodic Slot Structure</w:t>
      </w:r>
    </w:p>
    <w:p w14:paraId="57CA5491" w14:textId="77777777" w:rsidR="00CE1334" w:rsidRDefault="00CE1334" w:rsidP="00CE1334">
      <w:r>
        <w:t xml:space="preserve">4-slot periodic structures allow for simpler multiplexing of mixed numerologies as the numerologies also scale as powers of 2. </w:t>
      </w:r>
    </w:p>
    <w:p w14:paraId="081B2961" w14:textId="77777777" w:rsidR="00CE1334" w:rsidRDefault="00CE1334" w:rsidP="00CE1334">
      <w:pPr>
        <w:jc w:val="center"/>
        <w:rPr>
          <w:lang w:val="en-GB"/>
        </w:rPr>
      </w:pPr>
      <w:r>
        <w:rPr>
          <w:lang w:val="en-GB"/>
        </w:rPr>
        <w:object w:dxaOrig="10740" w:dyaOrig="4230" w14:anchorId="0BC6F997">
          <v:shape id="_x0000_i1026" type="#_x0000_t75" style="width:469pt;height:184.5pt" o:ole="">
            <v:imagedata r:id="rId14" o:title=""/>
          </v:shape>
          <o:OLEObject Type="Embed" ProgID="Visio.Drawing.11" ShapeID="_x0000_i1026" DrawAspect="Content" ObjectID="_1577293394" r:id="rId15"/>
        </w:object>
      </w:r>
    </w:p>
    <w:p w14:paraId="150F1488" w14:textId="77777777" w:rsidR="00CE1334" w:rsidRPr="00DE57B9" w:rsidRDefault="00CE1334" w:rsidP="00CE1334">
      <w:pPr>
        <w:pStyle w:val="Caption"/>
        <w:jc w:val="center"/>
        <w:rPr>
          <w:lang w:val="en-GB"/>
        </w:rPr>
      </w:pPr>
      <w:r>
        <w:t xml:space="preserve">Figure </w:t>
      </w:r>
      <w:fldSimple w:instr=" SEQ Figure \* ARABIC ">
        <w:r>
          <w:rPr>
            <w:noProof/>
          </w:rPr>
          <w:t>2</w:t>
        </w:r>
      </w:fldSimple>
      <w:r>
        <w:t>. 4</w:t>
      </w:r>
      <w:r w:rsidRPr="00674F96">
        <w:t xml:space="preserve">-slot Periodic Slot Structure </w:t>
      </w:r>
      <w:r>
        <w:t>–Mixed Numerology Multiplexing</w:t>
      </w:r>
    </w:p>
    <w:p w14:paraId="7E9351E9" w14:textId="77777777" w:rsidR="00CE1334" w:rsidRDefault="00CE1334" w:rsidP="00CE1334">
      <w:pPr>
        <w:pStyle w:val="Caption"/>
        <w:jc w:val="center"/>
      </w:pPr>
    </w:p>
    <w:p w14:paraId="74BA53CC" w14:textId="3F557F1B" w:rsidR="00CE1334" w:rsidRDefault="00CE1334" w:rsidP="00CE1334">
      <w:r>
        <w:t xml:space="preserve">On the other hand, if you have a 5-slot periodic structure deployed and later want to mix it with 15 kHz numerology, you would end up with an unfeasible 1 ms slot that partially overlaps with the end of the first 5-slots and the beginning of the second 5-slots as seen in </w:t>
      </w:r>
      <w:r>
        <w:fldChar w:fldCharType="begin"/>
      </w:r>
      <w:r>
        <w:instrText xml:space="preserve"> REF _Ref503516612 \h </w:instrText>
      </w:r>
      <w:r>
        <w:fldChar w:fldCharType="separate"/>
      </w:r>
      <w:r>
        <w:t xml:space="preserve">Figure </w:t>
      </w:r>
      <w:r>
        <w:rPr>
          <w:noProof/>
        </w:rPr>
        <w:t>3</w:t>
      </w:r>
      <w:r>
        <w:fldChar w:fldCharType="end"/>
      </w:r>
      <w:r>
        <w:t xml:space="preserve">. </w:t>
      </w:r>
    </w:p>
    <w:p w14:paraId="2B2DB890" w14:textId="77777777" w:rsidR="00CE1334" w:rsidRDefault="00CE1334" w:rsidP="00CE1334">
      <w:pPr>
        <w:pStyle w:val="Caption"/>
        <w:rPr>
          <w:lang w:val="en-GB"/>
        </w:rPr>
      </w:pPr>
      <w:r>
        <w:rPr>
          <w:lang w:val="en-GB"/>
        </w:rPr>
        <w:object w:dxaOrig="10962" w:dyaOrig="3198" w14:anchorId="6B61D0D2">
          <v:shape id="_x0000_i1027" type="#_x0000_t75" style="width:478.5pt;height:139.5pt" o:ole="">
            <v:imagedata r:id="rId16" o:title=""/>
          </v:shape>
          <o:OLEObject Type="Embed" ProgID="Visio.Drawing.11" ShapeID="_x0000_i1027" DrawAspect="Content" ObjectID="_1577293395" r:id="rId17"/>
        </w:object>
      </w:r>
    </w:p>
    <w:p w14:paraId="140E451B" w14:textId="61D60684" w:rsidR="00CE1334" w:rsidRDefault="00CE1334" w:rsidP="00CE1334">
      <w:pPr>
        <w:pStyle w:val="Caption"/>
        <w:jc w:val="center"/>
      </w:pPr>
      <w:bookmarkStart w:id="2" w:name="_Ref503516612"/>
      <w:r>
        <w:t xml:space="preserve">Figure </w:t>
      </w:r>
      <w:fldSimple w:instr=" SEQ Figure \* ARABIC ">
        <w:r>
          <w:rPr>
            <w:noProof/>
          </w:rPr>
          <w:t>3</w:t>
        </w:r>
      </w:fldSimple>
      <w:bookmarkEnd w:id="2"/>
      <w:r>
        <w:t xml:space="preserve">. </w:t>
      </w:r>
      <w:r w:rsidRPr="00674F96">
        <w:t xml:space="preserve">5-slot Periodic Slot Structure </w:t>
      </w:r>
      <w:r>
        <w:t>–Mixed Numerology Multiplexing</w:t>
      </w:r>
    </w:p>
    <w:p w14:paraId="296FB50A" w14:textId="027DD9A8" w:rsidR="00B10B3B" w:rsidRPr="00CF441F" w:rsidRDefault="00CE1334" w:rsidP="00CE1334">
      <w:pPr>
        <w:overflowPunct/>
        <w:autoSpaceDE/>
        <w:autoSpaceDN/>
        <w:adjustRightInd/>
        <w:spacing w:before="100" w:beforeAutospacing="1" w:after="100" w:afterAutospacing="1"/>
        <w:textAlignment w:val="auto"/>
        <w:rPr>
          <w:color w:val="FF0000"/>
        </w:rPr>
      </w:pPr>
      <w:r>
        <w:rPr>
          <w:lang w:val="en-GB"/>
        </w:rPr>
        <w:t>Due to the advantages of multi-slot structures that have periodicities as powers of 2, we would like to propose that the range of RRC parameters defined do not preclude these periodicities.</w:t>
      </w:r>
    </w:p>
    <w:p w14:paraId="3B681516" w14:textId="4988E9EB" w:rsidR="00D67333" w:rsidRDefault="00CF441F" w:rsidP="00D67333">
      <w:pPr>
        <w:pStyle w:val="Heading1"/>
      </w:pPr>
      <w:r>
        <w:t>Parameter Updates to RRC</w:t>
      </w:r>
    </w:p>
    <w:p w14:paraId="2482AAF9" w14:textId="200F7A8E" w:rsidR="00CF441F" w:rsidRPr="00CF441F" w:rsidRDefault="00CF441F" w:rsidP="00CF441F">
      <w:pPr>
        <w:rPr>
          <w:lang w:val="en-GB"/>
        </w:rPr>
      </w:pPr>
      <w:r>
        <w:rPr>
          <w:lang w:val="en-GB"/>
        </w:rPr>
        <w:t xml:space="preserve">The following additions should be made to the RRC parameters as captured in </w:t>
      </w:r>
      <w:r w:rsidR="00FA1A98">
        <w:rPr>
          <w:lang w:val="en-GB"/>
        </w:rPr>
        <w:t>[</w:t>
      </w:r>
      <w:r w:rsidR="00B26615">
        <w:rPr>
          <w:lang w:val="en-GB"/>
        </w:rPr>
        <w:t>2</w:t>
      </w:r>
      <w:r w:rsidR="00FA1A98">
        <w:rPr>
          <w:lang w:val="en-GB"/>
        </w:rPr>
        <w:t>]</w:t>
      </w:r>
      <w:r>
        <w:rPr>
          <w:lang w:val="en-GB"/>
        </w:rPr>
        <w:t>.</w:t>
      </w:r>
    </w:p>
    <w:p w14:paraId="6D53F8A0" w14:textId="5AB8A8EA" w:rsidR="00BC27C3" w:rsidRPr="0003690D" w:rsidRDefault="00CF441F" w:rsidP="007D20C2">
      <w:pPr>
        <w:pStyle w:val="Caption"/>
        <w:rPr>
          <w:b w:val="0"/>
          <w:i/>
        </w:rPr>
      </w:pPr>
      <w:r w:rsidRPr="00CF441F">
        <w:rPr>
          <w:u w:val="single"/>
        </w:rPr>
        <w:t>Proposal</w:t>
      </w:r>
      <w:r>
        <w:rPr>
          <w:u w:val="single"/>
        </w:rPr>
        <w:t xml:space="preserve"> 1</w:t>
      </w:r>
      <w:r w:rsidRPr="00CF441F">
        <w:rPr>
          <w:u w:val="single"/>
        </w:rPr>
        <w:t>:</w:t>
      </w:r>
      <w:r>
        <w:rPr>
          <w:b w:val="0"/>
        </w:rPr>
        <w:t xml:space="preserve"> </w:t>
      </w:r>
      <w:r w:rsidRPr="0003690D">
        <w:rPr>
          <w:b w:val="0"/>
          <w:i/>
        </w:rPr>
        <w:t>The following periodicities should be added to the RRC parameters</w:t>
      </w:r>
      <w:r w:rsidR="002C5FE9" w:rsidRPr="0003690D">
        <w:rPr>
          <w:b w:val="0"/>
          <w:i/>
        </w:rPr>
        <w:t xml:space="preserve"> (as captured in [</w:t>
      </w:r>
      <w:r w:rsidR="0011351F">
        <w:rPr>
          <w:b w:val="0"/>
          <w:i/>
        </w:rPr>
        <w:t>2, R1-1721616</w:t>
      </w:r>
      <w:r w:rsidR="002C5FE9" w:rsidRPr="0003690D">
        <w:rPr>
          <w:b w:val="0"/>
          <w:i/>
        </w:rPr>
        <w:t>])</w:t>
      </w:r>
      <w:r w:rsidR="00FA1A98" w:rsidRPr="0003690D">
        <w:rPr>
          <w:b w:val="0"/>
          <w:i/>
        </w:rPr>
        <w:t xml:space="preserve"> </w:t>
      </w:r>
      <w:r w:rsidR="00BC27C3" w:rsidRPr="0003690D">
        <w:rPr>
          <w:b w:val="0"/>
          <w:i/>
        </w:rPr>
        <w:t xml:space="preserve">to ensure that slot periodicities of 2, 4, 8, and 16 </w:t>
      </w:r>
      <w:r w:rsidR="00000992" w:rsidRPr="0003690D">
        <w:rPr>
          <w:b w:val="0"/>
          <w:i/>
        </w:rPr>
        <w:t xml:space="preserve">slots </w:t>
      </w:r>
      <w:r w:rsidR="00BC27C3" w:rsidRPr="0003690D">
        <w:rPr>
          <w:b w:val="0"/>
          <w:i/>
        </w:rPr>
        <w:t>are supported in specification.</w:t>
      </w:r>
      <w:r w:rsidR="007D20C2" w:rsidRPr="0003690D">
        <w:rPr>
          <w:b w:val="0"/>
          <w:i/>
        </w:rPr>
        <w:t xml:space="preserve"> (</w:t>
      </w:r>
      <w:r w:rsidR="007D20C2" w:rsidRPr="0020489B">
        <w:rPr>
          <w:i/>
          <w:color w:val="FF0000"/>
        </w:rPr>
        <w:t>Changes are indicated in red</w:t>
      </w:r>
      <w:r w:rsidR="007D20C2" w:rsidRPr="0003690D">
        <w:rPr>
          <w:i/>
          <w:color w:val="FF0000"/>
        </w:rPr>
        <w:t>.</w:t>
      </w:r>
      <w:r w:rsidR="007D20C2" w:rsidRPr="0003690D">
        <w:rPr>
          <w:b w:val="0"/>
          <w:i/>
        </w:rPr>
        <w:t>)</w:t>
      </w:r>
    </w:p>
    <w:p w14:paraId="39C774AF" w14:textId="36B21855" w:rsidR="00CF441F" w:rsidRPr="0003690D" w:rsidRDefault="00000992" w:rsidP="00000992">
      <w:pPr>
        <w:numPr>
          <w:ilvl w:val="0"/>
          <w:numId w:val="42"/>
        </w:numPr>
        <w:overflowPunct/>
        <w:autoSpaceDE/>
        <w:autoSpaceDN/>
        <w:adjustRightInd/>
        <w:spacing w:after="0"/>
        <w:textAlignment w:val="auto"/>
        <w:rPr>
          <w:rFonts w:eastAsia="Times New Roman"/>
          <w:i/>
        </w:rPr>
      </w:pPr>
      <w:r w:rsidRPr="0003690D">
        <w:rPr>
          <w:rFonts w:eastAsia="Times New Roman"/>
          <w:i/>
        </w:rPr>
        <w:t>CSI-RS-timeConfig</w:t>
      </w:r>
      <w:r w:rsidR="00CF441F" w:rsidRPr="0003690D">
        <w:rPr>
          <w:rFonts w:eastAsia="Times New Roman"/>
          <w:i/>
        </w:rPr>
        <w:t xml:space="preserve"> </w:t>
      </w:r>
      <w:r w:rsidRPr="0003690D">
        <w:rPr>
          <w:rFonts w:eastAsia="Times New Roman"/>
          <w:i/>
        </w:rPr>
        <w:t xml:space="preserve">and CSI-IM-timeConfig </w:t>
      </w:r>
    </w:p>
    <w:p w14:paraId="33D42B6D" w14:textId="467AD592" w:rsidR="00CF441F" w:rsidRPr="0003690D" w:rsidRDefault="00000992" w:rsidP="00000992">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values to be {</w:t>
      </w:r>
      <w:r w:rsidRPr="0003690D">
        <w:rPr>
          <w:rFonts w:eastAsia="Times New Roman"/>
          <w:b/>
          <w:i/>
          <w:color w:val="FF0000"/>
        </w:rPr>
        <w:t>2, 4,</w:t>
      </w:r>
      <w:r w:rsidRPr="0003690D">
        <w:rPr>
          <w:rFonts w:eastAsia="Times New Roman"/>
          <w:i/>
        </w:rPr>
        <w:t xml:space="preserve"> 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 640}</w:t>
      </w:r>
    </w:p>
    <w:p w14:paraId="0FCC1F8E" w14:textId="400F82E0" w:rsidR="00000992" w:rsidRPr="0003690D" w:rsidRDefault="00000992" w:rsidP="00000992">
      <w:pPr>
        <w:numPr>
          <w:ilvl w:val="0"/>
          <w:numId w:val="42"/>
        </w:numPr>
        <w:overflowPunct/>
        <w:autoSpaceDE/>
        <w:autoSpaceDN/>
        <w:adjustRightInd/>
        <w:spacing w:after="0"/>
        <w:textAlignment w:val="auto"/>
        <w:rPr>
          <w:rFonts w:eastAsia="Times New Roman"/>
          <w:i/>
        </w:rPr>
      </w:pPr>
      <w:r w:rsidRPr="0003690D">
        <w:rPr>
          <w:rFonts w:eastAsia="Times New Roman"/>
          <w:i/>
        </w:rPr>
        <w:t>CSI</w:t>
      </w:r>
      <w:r w:rsidR="00111B40" w:rsidRPr="0003690D">
        <w:rPr>
          <w:rFonts w:eastAsia="Times New Roman"/>
          <w:i/>
        </w:rPr>
        <w:t xml:space="preserve"> report </w:t>
      </w:r>
      <w:r w:rsidRPr="0003690D">
        <w:rPr>
          <w:rFonts w:eastAsia="Times New Roman"/>
          <w:i/>
        </w:rPr>
        <w:t>ReportPeriodicity</w:t>
      </w:r>
      <w:r w:rsidR="00111B40" w:rsidRPr="0003690D">
        <w:rPr>
          <w:rFonts w:eastAsia="Times New Roman"/>
          <w:i/>
        </w:rPr>
        <w:t xml:space="preserve"> and ReportPeriodicity-spCSI</w:t>
      </w:r>
    </w:p>
    <w:p w14:paraId="37AC764D" w14:textId="3B7042C2" w:rsidR="00000992" w:rsidRPr="0003690D" w:rsidRDefault="00000992" w:rsidP="00000992">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values to be {</w:t>
      </w:r>
      <w:r w:rsidRPr="0003690D">
        <w:rPr>
          <w:rFonts w:eastAsia="Times New Roman"/>
          <w:b/>
          <w:i/>
          <w:color w:val="FF0000"/>
        </w:rPr>
        <w:t xml:space="preserve">2, 4, </w:t>
      </w:r>
      <w:r w:rsidRPr="0003690D">
        <w:rPr>
          <w:rFonts w:eastAsia="Times New Roman"/>
          <w:i/>
        </w:rPr>
        <w:t xml:space="preserve">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w:t>
      </w:r>
    </w:p>
    <w:p w14:paraId="6D92C3DF" w14:textId="62176C8E" w:rsidR="00CF441F" w:rsidRPr="0003690D" w:rsidRDefault="00CF441F" w:rsidP="00CF441F">
      <w:pPr>
        <w:numPr>
          <w:ilvl w:val="0"/>
          <w:numId w:val="42"/>
        </w:numPr>
        <w:overflowPunct/>
        <w:autoSpaceDE/>
        <w:autoSpaceDN/>
        <w:adjustRightInd/>
        <w:spacing w:after="0"/>
        <w:textAlignment w:val="auto"/>
        <w:rPr>
          <w:rFonts w:eastAsia="Times New Roman"/>
          <w:i/>
        </w:rPr>
      </w:pPr>
      <w:r w:rsidRPr="0003690D">
        <w:rPr>
          <w:rFonts w:eastAsia="Times New Roman"/>
          <w:i/>
        </w:rPr>
        <w:t>SRS</w:t>
      </w:r>
      <w:r w:rsidR="00000992" w:rsidRPr="0003690D">
        <w:rPr>
          <w:rFonts w:eastAsia="Times New Roman"/>
          <w:i/>
        </w:rPr>
        <w:t>-SlotConfig</w:t>
      </w:r>
    </w:p>
    <w:p w14:paraId="00F8C917" w14:textId="14091E10" w:rsidR="00CF441F" w:rsidRPr="0003690D" w:rsidRDefault="00000992" w:rsidP="00111B40">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periodicities to be</w:t>
      </w:r>
      <w:r w:rsidR="00CF441F" w:rsidRPr="0003690D">
        <w:rPr>
          <w:rFonts w:eastAsia="Times New Roman"/>
          <w:i/>
        </w:rPr>
        <w:t xml:space="preserve"> </w:t>
      </w:r>
      <w:r w:rsidRPr="0003690D">
        <w:rPr>
          <w:rFonts w:eastAsia="Times New Roman"/>
          <w:i/>
        </w:rPr>
        <w:t xml:space="preserve">{1, 2, </w:t>
      </w:r>
      <w:r w:rsidRPr="0003690D">
        <w:rPr>
          <w:rFonts w:eastAsia="Times New Roman"/>
          <w:b/>
          <w:i/>
          <w:color w:val="FF0000"/>
        </w:rPr>
        <w:t xml:space="preserve">4, </w:t>
      </w:r>
      <w:r w:rsidRPr="0003690D">
        <w:rPr>
          <w:rFonts w:eastAsia="Times New Roman"/>
          <w:i/>
        </w:rPr>
        <w:t xml:space="preserve">5, </w:t>
      </w:r>
      <w:r w:rsidRPr="0003690D">
        <w:rPr>
          <w:rFonts w:eastAsia="Times New Roman"/>
          <w:b/>
          <w:i/>
          <w:color w:val="FF0000"/>
        </w:rPr>
        <w:t>8,</w:t>
      </w:r>
      <w:r w:rsidRPr="0003690D">
        <w:rPr>
          <w:rFonts w:eastAsia="Times New Roman"/>
          <w:b/>
          <w:i/>
        </w:rPr>
        <w:t xml:space="preserve">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 640, 1280, 2560}</w:t>
      </w:r>
    </w:p>
    <w:p w14:paraId="634732EC" w14:textId="4AD71307" w:rsidR="00CF441F" w:rsidRPr="0003690D" w:rsidRDefault="00E22A93" w:rsidP="00E22A93">
      <w:pPr>
        <w:numPr>
          <w:ilvl w:val="0"/>
          <w:numId w:val="42"/>
        </w:numPr>
        <w:overflowPunct/>
        <w:autoSpaceDE/>
        <w:autoSpaceDN/>
        <w:adjustRightInd/>
        <w:spacing w:after="0"/>
        <w:textAlignment w:val="auto"/>
        <w:rPr>
          <w:rFonts w:eastAsia="Times New Roman"/>
          <w:i/>
        </w:rPr>
      </w:pPr>
      <w:r w:rsidRPr="0003690D">
        <w:rPr>
          <w:rFonts w:eastAsia="Times New Roman"/>
          <w:i/>
        </w:rPr>
        <w:t>SR-periodicity</w:t>
      </w:r>
      <w:r w:rsidR="00CF441F" w:rsidRPr="0003690D">
        <w:rPr>
          <w:rFonts w:eastAsia="Times New Roman"/>
          <w:i/>
        </w:rPr>
        <w:t xml:space="preserve"> </w:t>
      </w:r>
    </w:p>
    <w:p w14:paraId="3D797116" w14:textId="7974E109" w:rsidR="00CF441F" w:rsidRPr="0003690D" w:rsidRDefault="00E22A93" w:rsidP="00CF441F">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periodicit</w:t>
      </w:r>
      <w:r w:rsidR="007D20C2" w:rsidRPr="0003690D">
        <w:rPr>
          <w:rFonts w:eastAsia="Times New Roman"/>
          <w:i/>
        </w:rPr>
        <w:t>ies per numerology to be as follows (note these are in units of symbols, or ms)</w:t>
      </w:r>
    </w:p>
    <w:p w14:paraId="66AFC9A6" w14:textId="616F5D90" w:rsidR="007D20C2" w:rsidRPr="0003690D" w:rsidRDefault="007D20C2" w:rsidP="007D20C2">
      <w:pPr>
        <w:numPr>
          <w:ilvl w:val="1"/>
          <w:numId w:val="42"/>
        </w:numPr>
        <w:overflowPunct/>
        <w:autoSpaceDE/>
        <w:autoSpaceDN/>
        <w:adjustRightInd/>
        <w:spacing w:after="0"/>
        <w:textAlignment w:val="auto"/>
        <w:rPr>
          <w:rFonts w:eastAsia="Times New Roman"/>
          <w:i/>
        </w:rPr>
      </w:pPr>
      <w:r w:rsidRPr="0003690D">
        <w:rPr>
          <w:rFonts w:eastAsia="Times New Roman"/>
          <w:i/>
        </w:rPr>
        <w:lastRenderedPageBreak/>
        <w:t xml:space="preserve">15 kHz: {2 symbols, 7 symbols, 1, 2, </w:t>
      </w:r>
      <w:r w:rsidRPr="0003690D">
        <w:rPr>
          <w:rFonts w:eastAsia="Times New Roman"/>
          <w:b/>
          <w:i/>
          <w:color w:val="FF0000"/>
        </w:rPr>
        <w:t xml:space="preserve">4, </w:t>
      </w:r>
      <w:r w:rsidRPr="0003690D">
        <w:rPr>
          <w:rFonts w:eastAsia="Times New Roman"/>
          <w:i/>
        </w:rPr>
        <w:t xml:space="preserve">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32, 40, 64, 80, 128, 160, 320, 640}</w:t>
      </w:r>
    </w:p>
    <w:p w14:paraId="71A9EAA4" w14:textId="5745DE8D" w:rsidR="007D20C2" w:rsidRPr="0003690D" w:rsidRDefault="007D20C2" w:rsidP="007D20C2">
      <w:pPr>
        <w:numPr>
          <w:ilvl w:val="1"/>
          <w:numId w:val="42"/>
        </w:numPr>
        <w:overflowPunct/>
        <w:autoSpaceDE/>
        <w:autoSpaceDN/>
        <w:adjustRightInd/>
        <w:spacing w:after="0"/>
        <w:textAlignment w:val="auto"/>
        <w:rPr>
          <w:rFonts w:eastAsia="Times New Roman"/>
          <w:i/>
        </w:rPr>
      </w:pPr>
      <w:r w:rsidRPr="0003690D">
        <w:rPr>
          <w:rFonts w:eastAsia="Times New Roman"/>
          <w:i/>
        </w:rPr>
        <w:t xml:space="preserve">30 kHz: {2 symbols, 7 symbols, 0.5, 1, 2, </w:t>
      </w:r>
      <w:r w:rsidRPr="0003690D">
        <w:rPr>
          <w:rFonts w:eastAsia="Times New Roman"/>
          <w:b/>
          <w:i/>
          <w:color w:val="FF0000"/>
        </w:rPr>
        <w:t>4,</w:t>
      </w:r>
      <w:r w:rsidRPr="0003690D">
        <w:rPr>
          <w:rFonts w:eastAsia="Times New Roman"/>
          <w:i/>
        </w:rPr>
        <w:t xml:space="preserve"> 5, </w:t>
      </w:r>
      <w:r w:rsidRPr="0003690D">
        <w:rPr>
          <w:rFonts w:eastAsia="Times New Roman"/>
          <w:b/>
          <w:i/>
          <w:color w:val="FF0000"/>
        </w:rPr>
        <w:t xml:space="preserve">8, </w:t>
      </w:r>
      <w:r w:rsidRPr="0003690D">
        <w:rPr>
          <w:rFonts w:eastAsia="Times New Roman"/>
          <w:i/>
        </w:rPr>
        <w:t>10, 20, 32, 40, 64, 80, 128, 160, 320, 640}</w:t>
      </w:r>
    </w:p>
    <w:p w14:paraId="52B3EC98" w14:textId="6A711F09" w:rsidR="007D20C2" w:rsidRPr="0003690D" w:rsidRDefault="007D20C2" w:rsidP="001E1EC4">
      <w:pPr>
        <w:numPr>
          <w:ilvl w:val="1"/>
          <w:numId w:val="42"/>
        </w:numPr>
        <w:overflowPunct/>
        <w:autoSpaceDE/>
        <w:autoSpaceDN/>
        <w:adjustRightInd/>
        <w:spacing w:after="0"/>
        <w:textAlignment w:val="auto"/>
        <w:rPr>
          <w:rFonts w:eastAsia="Times New Roman"/>
          <w:i/>
        </w:rPr>
      </w:pPr>
      <w:r w:rsidRPr="0003690D">
        <w:rPr>
          <w:rFonts w:eastAsia="Times New Roman"/>
          <w:i/>
        </w:rPr>
        <w:t>60</w:t>
      </w:r>
      <w:r w:rsidR="001E1EC4" w:rsidRPr="0003690D">
        <w:rPr>
          <w:rFonts w:eastAsia="Times New Roman"/>
          <w:i/>
        </w:rPr>
        <w:t xml:space="preserve"> kHz: {</w:t>
      </w:r>
      <w:r w:rsidRPr="0003690D">
        <w:rPr>
          <w:rFonts w:eastAsia="Times New Roman"/>
          <w:i/>
        </w:rPr>
        <w:t>2 symbols, 7 symbols (6 symbols for ECP), 0.25,0.5,1,2,</w:t>
      </w:r>
      <w:r w:rsidR="001E1EC4" w:rsidRPr="0003690D">
        <w:rPr>
          <w:rFonts w:eastAsia="Times New Roman"/>
          <w:b/>
          <w:i/>
          <w:color w:val="FF0000"/>
        </w:rPr>
        <w:t>4,</w:t>
      </w:r>
      <w:r w:rsidRPr="0003690D">
        <w:rPr>
          <w:rFonts w:eastAsia="Times New Roman"/>
          <w:i/>
        </w:rPr>
        <w:t>5,10,20, , 32, 40, 64, 80, 128, 160, 320, 640</w:t>
      </w:r>
      <w:r w:rsidR="001E1EC4" w:rsidRPr="0003690D">
        <w:rPr>
          <w:rFonts w:eastAsia="Times New Roman"/>
          <w:i/>
        </w:rPr>
        <w:t>}</w:t>
      </w:r>
    </w:p>
    <w:p w14:paraId="409F7F6E" w14:textId="2DBE4EC0" w:rsidR="00EE583B" w:rsidRPr="0003690D" w:rsidRDefault="007D20C2" w:rsidP="00CF441F">
      <w:pPr>
        <w:numPr>
          <w:ilvl w:val="1"/>
          <w:numId w:val="42"/>
        </w:numPr>
        <w:overflowPunct/>
        <w:autoSpaceDE/>
        <w:autoSpaceDN/>
        <w:adjustRightInd/>
        <w:spacing w:after="0"/>
        <w:textAlignment w:val="auto"/>
        <w:rPr>
          <w:rFonts w:eastAsia="Times New Roman"/>
          <w:i/>
        </w:rPr>
      </w:pPr>
      <w:r w:rsidRPr="0003690D">
        <w:rPr>
          <w:rFonts w:eastAsia="Times New Roman"/>
          <w:i/>
        </w:rPr>
        <w:t>120</w:t>
      </w:r>
      <w:r w:rsidR="001E1EC4" w:rsidRPr="0003690D">
        <w:rPr>
          <w:rFonts w:eastAsia="Times New Roman"/>
          <w:i/>
        </w:rPr>
        <w:t xml:space="preserve"> kHz </w:t>
      </w:r>
      <w:r w:rsidR="001E1EC4" w:rsidRPr="0003690D">
        <w:rPr>
          <w:rFonts w:eastAsia="Times New Roman"/>
          <w:b/>
          <w:i/>
          <w:color w:val="FF0000"/>
        </w:rPr>
        <w:t>(no change)</w:t>
      </w:r>
      <w:r w:rsidR="001E1EC4" w:rsidRPr="0003690D">
        <w:rPr>
          <w:rFonts w:eastAsia="Times New Roman"/>
          <w:i/>
        </w:rPr>
        <w:t>: {</w:t>
      </w:r>
      <w:r w:rsidRPr="0003690D">
        <w:rPr>
          <w:rFonts w:eastAsia="Times New Roman"/>
          <w:i/>
        </w:rPr>
        <w:t>2 symbols, 7 symbols, 0.125,0.25,0.5,1,2,5,10,20, 32, 40, 64, 80, 128, 160, 320, 640</w:t>
      </w:r>
      <w:r w:rsidR="001E1EC4" w:rsidRPr="0003690D">
        <w:rPr>
          <w:rFonts w:eastAsia="Times New Roman"/>
          <w:i/>
        </w:rPr>
        <w:t>}</w:t>
      </w:r>
    </w:p>
    <w:p w14:paraId="27723CEB" w14:textId="783AB82A" w:rsidR="00593A38" w:rsidRPr="00B465AE" w:rsidRDefault="009115F7" w:rsidP="00593A38">
      <w:pPr>
        <w:pStyle w:val="Heading1"/>
      </w:pPr>
      <w:r>
        <w:t>Conclusions</w:t>
      </w:r>
    </w:p>
    <w:p w14:paraId="0B20A151" w14:textId="468ABD23" w:rsidR="0003690D" w:rsidRPr="0003690D" w:rsidRDefault="0003690D" w:rsidP="0003690D">
      <w:pPr>
        <w:pStyle w:val="Caption"/>
        <w:rPr>
          <w:b w:val="0"/>
          <w:i/>
        </w:rPr>
      </w:pPr>
      <w:r w:rsidRPr="00CF441F">
        <w:rPr>
          <w:u w:val="single"/>
        </w:rPr>
        <w:t>Proposal</w:t>
      </w:r>
      <w:r>
        <w:rPr>
          <w:u w:val="single"/>
        </w:rPr>
        <w:t xml:space="preserve"> 1</w:t>
      </w:r>
      <w:r w:rsidRPr="00CF441F">
        <w:rPr>
          <w:u w:val="single"/>
        </w:rPr>
        <w:t>:</w:t>
      </w:r>
      <w:r>
        <w:rPr>
          <w:b w:val="0"/>
        </w:rPr>
        <w:t xml:space="preserve"> </w:t>
      </w:r>
      <w:r w:rsidRPr="0003690D">
        <w:rPr>
          <w:b w:val="0"/>
          <w:i/>
        </w:rPr>
        <w:t>The following periodicities should be added to the RRC parameters (as captured in [</w:t>
      </w:r>
      <w:r w:rsidR="0011351F">
        <w:rPr>
          <w:b w:val="0"/>
          <w:i/>
        </w:rPr>
        <w:t>2, R1-1721616</w:t>
      </w:r>
      <w:r w:rsidRPr="0003690D">
        <w:rPr>
          <w:b w:val="0"/>
          <w:i/>
        </w:rPr>
        <w:t>]) to ensure that slot periodicities of 2, 4, 8, and 16 slots are supported in specification. (</w:t>
      </w:r>
      <w:r w:rsidRPr="0020489B">
        <w:rPr>
          <w:i/>
          <w:color w:val="FF0000"/>
        </w:rPr>
        <w:t>Changes are indicated in red</w:t>
      </w:r>
      <w:r w:rsidRPr="0003690D">
        <w:rPr>
          <w:i/>
          <w:color w:val="FF0000"/>
        </w:rPr>
        <w:t>.</w:t>
      </w:r>
      <w:r w:rsidRPr="0003690D">
        <w:rPr>
          <w:b w:val="0"/>
          <w:i/>
        </w:rPr>
        <w:t>)</w:t>
      </w:r>
    </w:p>
    <w:p w14:paraId="7DD95F70" w14:textId="77777777" w:rsidR="0003690D" w:rsidRPr="0003690D" w:rsidRDefault="0003690D" w:rsidP="0003690D">
      <w:pPr>
        <w:numPr>
          <w:ilvl w:val="0"/>
          <w:numId w:val="42"/>
        </w:numPr>
        <w:overflowPunct/>
        <w:autoSpaceDE/>
        <w:autoSpaceDN/>
        <w:adjustRightInd/>
        <w:spacing w:after="0"/>
        <w:textAlignment w:val="auto"/>
        <w:rPr>
          <w:rFonts w:eastAsia="Times New Roman"/>
          <w:i/>
        </w:rPr>
      </w:pPr>
      <w:r w:rsidRPr="0003690D">
        <w:rPr>
          <w:rFonts w:eastAsia="Times New Roman"/>
          <w:i/>
        </w:rPr>
        <w:t xml:space="preserve">CSI-RS-timeConfig and CSI-IM-timeConfig </w:t>
      </w:r>
    </w:p>
    <w:p w14:paraId="172F59AC"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values to be {</w:t>
      </w:r>
      <w:r w:rsidRPr="0003690D">
        <w:rPr>
          <w:rFonts w:eastAsia="Times New Roman"/>
          <w:b/>
          <w:i/>
          <w:color w:val="FF0000"/>
        </w:rPr>
        <w:t>2, 4,</w:t>
      </w:r>
      <w:r w:rsidRPr="0003690D">
        <w:rPr>
          <w:rFonts w:eastAsia="Times New Roman"/>
          <w:i/>
        </w:rPr>
        <w:t xml:space="preserve"> 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 640}</w:t>
      </w:r>
    </w:p>
    <w:p w14:paraId="0E8FC7C5" w14:textId="77777777" w:rsidR="0003690D" w:rsidRPr="0003690D" w:rsidRDefault="0003690D" w:rsidP="0003690D">
      <w:pPr>
        <w:numPr>
          <w:ilvl w:val="0"/>
          <w:numId w:val="42"/>
        </w:numPr>
        <w:overflowPunct/>
        <w:autoSpaceDE/>
        <w:autoSpaceDN/>
        <w:adjustRightInd/>
        <w:spacing w:after="0"/>
        <w:textAlignment w:val="auto"/>
        <w:rPr>
          <w:rFonts w:eastAsia="Times New Roman"/>
          <w:i/>
        </w:rPr>
      </w:pPr>
      <w:r w:rsidRPr="0003690D">
        <w:rPr>
          <w:rFonts w:eastAsia="Times New Roman"/>
          <w:i/>
        </w:rPr>
        <w:t>CSI report ReportPeriodicity and ReportPeriodicity-spCSI</w:t>
      </w:r>
    </w:p>
    <w:p w14:paraId="3CEF9174"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values to be {</w:t>
      </w:r>
      <w:r w:rsidRPr="0003690D">
        <w:rPr>
          <w:rFonts w:eastAsia="Times New Roman"/>
          <w:b/>
          <w:i/>
          <w:color w:val="FF0000"/>
        </w:rPr>
        <w:t xml:space="preserve">2, 4, </w:t>
      </w:r>
      <w:r w:rsidRPr="0003690D">
        <w:rPr>
          <w:rFonts w:eastAsia="Times New Roman"/>
          <w:i/>
        </w:rPr>
        <w:t xml:space="preserve">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w:t>
      </w:r>
    </w:p>
    <w:p w14:paraId="4DABF485" w14:textId="77777777" w:rsidR="0003690D" w:rsidRPr="0003690D" w:rsidRDefault="0003690D" w:rsidP="0003690D">
      <w:pPr>
        <w:numPr>
          <w:ilvl w:val="0"/>
          <w:numId w:val="42"/>
        </w:numPr>
        <w:overflowPunct/>
        <w:autoSpaceDE/>
        <w:autoSpaceDN/>
        <w:adjustRightInd/>
        <w:spacing w:after="0"/>
        <w:textAlignment w:val="auto"/>
        <w:rPr>
          <w:rFonts w:eastAsia="Times New Roman"/>
          <w:i/>
        </w:rPr>
      </w:pPr>
      <w:r w:rsidRPr="0003690D">
        <w:rPr>
          <w:rFonts w:eastAsia="Times New Roman"/>
          <w:i/>
        </w:rPr>
        <w:t>SRS-SlotConfig</w:t>
      </w:r>
    </w:p>
    <w:p w14:paraId="58D062F0"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 xml:space="preserve">Modify the set of periodicities to be {1, 2, </w:t>
      </w:r>
      <w:r w:rsidRPr="0003690D">
        <w:rPr>
          <w:rFonts w:eastAsia="Times New Roman"/>
          <w:b/>
          <w:i/>
          <w:color w:val="FF0000"/>
        </w:rPr>
        <w:t xml:space="preserve">4, </w:t>
      </w:r>
      <w:r w:rsidRPr="0003690D">
        <w:rPr>
          <w:rFonts w:eastAsia="Times New Roman"/>
          <w:i/>
        </w:rPr>
        <w:t xml:space="preserve">5, </w:t>
      </w:r>
      <w:r w:rsidRPr="0003690D">
        <w:rPr>
          <w:rFonts w:eastAsia="Times New Roman"/>
          <w:b/>
          <w:i/>
          <w:color w:val="FF0000"/>
        </w:rPr>
        <w:t>8,</w:t>
      </w:r>
      <w:r w:rsidRPr="0003690D">
        <w:rPr>
          <w:rFonts w:eastAsia="Times New Roman"/>
          <w:b/>
          <w:i/>
        </w:rPr>
        <w:t xml:space="preserve">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40, 80, 160, 320, 640, 1280, 2560}</w:t>
      </w:r>
    </w:p>
    <w:p w14:paraId="4D707C1C" w14:textId="77777777" w:rsidR="0003690D" w:rsidRPr="0003690D" w:rsidRDefault="0003690D" w:rsidP="0003690D">
      <w:pPr>
        <w:numPr>
          <w:ilvl w:val="0"/>
          <w:numId w:val="42"/>
        </w:numPr>
        <w:overflowPunct/>
        <w:autoSpaceDE/>
        <w:autoSpaceDN/>
        <w:adjustRightInd/>
        <w:spacing w:after="0"/>
        <w:textAlignment w:val="auto"/>
        <w:rPr>
          <w:rFonts w:eastAsia="Times New Roman"/>
          <w:i/>
        </w:rPr>
      </w:pPr>
      <w:r w:rsidRPr="0003690D">
        <w:rPr>
          <w:rFonts w:eastAsia="Times New Roman"/>
          <w:i/>
        </w:rPr>
        <w:t xml:space="preserve">SR-periodicity </w:t>
      </w:r>
    </w:p>
    <w:p w14:paraId="6F561FBA"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Modify the set of periodicities per numerology to be as follows (note these are in units of symbols, or ms)</w:t>
      </w:r>
    </w:p>
    <w:p w14:paraId="560C0F71"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 xml:space="preserve">15 kHz: {2 symbols, 7 symbols, 1, 2, </w:t>
      </w:r>
      <w:r w:rsidRPr="0003690D">
        <w:rPr>
          <w:rFonts w:eastAsia="Times New Roman"/>
          <w:b/>
          <w:i/>
          <w:color w:val="FF0000"/>
        </w:rPr>
        <w:t xml:space="preserve">4, </w:t>
      </w:r>
      <w:r w:rsidRPr="0003690D">
        <w:rPr>
          <w:rFonts w:eastAsia="Times New Roman"/>
          <w:i/>
        </w:rPr>
        <w:t xml:space="preserve">5, </w:t>
      </w:r>
      <w:r w:rsidRPr="0003690D">
        <w:rPr>
          <w:rFonts w:eastAsia="Times New Roman"/>
          <w:b/>
          <w:i/>
          <w:color w:val="FF0000"/>
        </w:rPr>
        <w:t xml:space="preserve">8, </w:t>
      </w:r>
      <w:r w:rsidRPr="0003690D">
        <w:rPr>
          <w:rFonts w:eastAsia="Times New Roman"/>
          <w:i/>
        </w:rPr>
        <w:t xml:space="preserve">10, </w:t>
      </w:r>
      <w:r w:rsidRPr="0003690D">
        <w:rPr>
          <w:rFonts w:eastAsia="Times New Roman"/>
          <w:b/>
          <w:i/>
          <w:color w:val="FF0000"/>
        </w:rPr>
        <w:t xml:space="preserve">16, </w:t>
      </w:r>
      <w:r w:rsidRPr="0003690D">
        <w:rPr>
          <w:rFonts w:eastAsia="Times New Roman"/>
          <w:i/>
        </w:rPr>
        <w:t>20, 32, 40, 64, 80, 128, 160, 320, 640}</w:t>
      </w:r>
    </w:p>
    <w:p w14:paraId="27B9390B"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 xml:space="preserve">30 kHz: {2 symbols, 7 symbols, 0.5, 1, 2, </w:t>
      </w:r>
      <w:r w:rsidRPr="0003690D">
        <w:rPr>
          <w:rFonts w:eastAsia="Times New Roman"/>
          <w:b/>
          <w:i/>
          <w:color w:val="FF0000"/>
        </w:rPr>
        <w:t>4,</w:t>
      </w:r>
      <w:r w:rsidRPr="0003690D">
        <w:rPr>
          <w:rFonts w:eastAsia="Times New Roman"/>
          <w:i/>
        </w:rPr>
        <w:t xml:space="preserve"> 5, </w:t>
      </w:r>
      <w:r w:rsidRPr="0003690D">
        <w:rPr>
          <w:rFonts w:eastAsia="Times New Roman"/>
          <w:b/>
          <w:i/>
          <w:color w:val="FF0000"/>
        </w:rPr>
        <w:t xml:space="preserve">8, </w:t>
      </w:r>
      <w:r w:rsidRPr="0003690D">
        <w:rPr>
          <w:rFonts w:eastAsia="Times New Roman"/>
          <w:i/>
        </w:rPr>
        <w:t>10, 20, 32, 40, 64, 80, 128, 160, 320, 640}</w:t>
      </w:r>
    </w:p>
    <w:p w14:paraId="07CE306B"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60 kHz: {2 symbols, 7 symbols (6 symbols for ECP), 0.25,0.5,1,2,</w:t>
      </w:r>
      <w:r w:rsidRPr="0003690D">
        <w:rPr>
          <w:rFonts w:eastAsia="Times New Roman"/>
          <w:b/>
          <w:i/>
          <w:color w:val="FF0000"/>
        </w:rPr>
        <w:t>4,</w:t>
      </w:r>
      <w:r w:rsidRPr="0003690D">
        <w:rPr>
          <w:rFonts w:eastAsia="Times New Roman"/>
          <w:i/>
        </w:rPr>
        <w:t>5,10,20, , 32, 40, 64, 80, 128, 160, 320, 640}</w:t>
      </w:r>
    </w:p>
    <w:p w14:paraId="0C242F0C" w14:textId="77777777" w:rsidR="0003690D" w:rsidRPr="0003690D" w:rsidRDefault="0003690D" w:rsidP="0003690D">
      <w:pPr>
        <w:numPr>
          <w:ilvl w:val="1"/>
          <w:numId w:val="42"/>
        </w:numPr>
        <w:overflowPunct/>
        <w:autoSpaceDE/>
        <w:autoSpaceDN/>
        <w:adjustRightInd/>
        <w:spacing w:after="0"/>
        <w:textAlignment w:val="auto"/>
        <w:rPr>
          <w:rFonts w:eastAsia="Times New Roman"/>
          <w:i/>
        </w:rPr>
      </w:pPr>
      <w:r w:rsidRPr="0003690D">
        <w:rPr>
          <w:rFonts w:eastAsia="Times New Roman"/>
          <w:i/>
        </w:rPr>
        <w:t xml:space="preserve">120 kHz </w:t>
      </w:r>
      <w:r w:rsidRPr="0003690D">
        <w:rPr>
          <w:rFonts w:eastAsia="Times New Roman"/>
          <w:b/>
          <w:i/>
          <w:color w:val="FF0000"/>
        </w:rPr>
        <w:t>(no change)</w:t>
      </w:r>
      <w:r w:rsidRPr="0003690D">
        <w:rPr>
          <w:rFonts w:eastAsia="Times New Roman"/>
          <w:i/>
        </w:rPr>
        <w:t>: {2 symbols, 7 symbols, 0.125,0.25,0.5,1,2,5,10,20, 32, 40, 64, 80, 128, 160, 320, 640}</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56AFC221" w14:textId="77777777" w:rsidR="00B26615" w:rsidRDefault="00B26615" w:rsidP="00CF441F">
      <w:pPr>
        <w:numPr>
          <w:ilvl w:val="0"/>
          <w:numId w:val="2"/>
        </w:numPr>
        <w:spacing w:before="100" w:beforeAutospacing="1" w:after="100" w:afterAutospacing="1"/>
        <w:rPr>
          <w:szCs w:val="22"/>
        </w:rPr>
      </w:pPr>
      <w:bookmarkStart w:id="3" w:name="_Ref492911265"/>
      <w:r>
        <w:t>R1-1711205, “</w:t>
      </w:r>
      <w:r w:rsidRPr="008A3041">
        <w:t>Low latency Impact Analysis on User Plane and Control Plane</w:t>
      </w:r>
      <w:r>
        <w:t>”, Qualcomm Incorporated, RAN1 AdHoc #2, Qingdao, China</w:t>
      </w:r>
      <w:bookmarkEnd w:id="3"/>
      <w:r w:rsidRPr="00CF441F">
        <w:rPr>
          <w:szCs w:val="22"/>
        </w:rPr>
        <w:t xml:space="preserve"> </w:t>
      </w:r>
    </w:p>
    <w:p w14:paraId="2044FBA0" w14:textId="51E8C999" w:rsidR="002E4881" w:rsidRPr="00B26615" w:rsidRDefault="00CF441F" w:rsidP="002E4881">
      <w:pPr>
        <w:numPr>
          <w:ilvl w:val="0"/>
          <w:numId w:val="2"/>
        </w:numPr>
        <w:spacing w:before="100" w:beforeAutospacing="1" w:after="100" w:afterAutospacing="1"/>
        <w:rPr>
          <w:szCs w:val="22"/>
        </w:rPr>
      </w:pPr>
      <w:r w:rsidRPr="00CF441F">
        <w:rPr>
          <w:szCs w:val="22"/>
        </w:rPr>
        <w:t>R1-1721616</w:t>
      </w:r>
      <w:r>
        <w:rPr>
          <w:szCs w:val="22"/>
        </w:rPr>
        <w:t>, “</w:t>
      </w:r>
      <w:r w:rsidRPr="00CF441F">
        <w:rPr>
          <w:szCs w:val="22"/>
        </w:rPr>
        <w:t>LS on RRC parameters for NR</w:t>
      </w:r>
      <w:r>
        <w:rPr>
          <w:szCs w:val="22"/>
        </w:rPr>
        <w:t>”,</w:t>
      </w:r>
      <w:r w:rsidRPr="00CF441F">
        <w:t xml:space="preserve"> </w:t>
      </w:r>
      <w:r w:rsidRPr="00CF441F">
        <w:rPr>
          <w:szCs w:val="22"/>
        </w:rPr>
        <w:t>Ericsson</w:t>
      </w:r>
      <w:r>
        <w:rPr>
          <w:szCs w:val="22"/>
        </w:rPr>
        <w:t>, RAN1 #</w:t>
      </w:r>
      <w:bookmarkStart w:id="4" w:name="_GoBack"/>
      <w:bookmarkEnd w:id="4"/>
      <w:r>
        <w:rPr>
          <w:szCs w:val="22"/>
        </w:rPr>
        <w:t>91, Reno, USA.</w:t>
      </w:r>
    </w:p>
    <w:sectPr w:rsidR="002E4881" w:rsidRPr="00B2661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BC445" w14:textId="77777777" w:rsidR="00646EC5" w:rsidRDefault="00646EC5">
      <w:r>
        <w:separator/>
      </w:r>
    </w:p>
  </w:endnote>
  <w:endnote w:type="continuationSeparator" w:id="0">
    <w:p w14:paraId="62E2C8E6" w14:textId="77777777" w:rsidR="00646EC5" w:rsidRDefault="00646EC5">
      <w:r>
        <w:continuationSeparator/>
      </w:r>
    </w:p>
  </w:endnote>
  <w:endnote w:type="continuationNotice" w:id="1">
    <w:p w14:paraId="50870A1F" w14:textId="77777777" w:rsidR="00646EC5" w:rsidRDefault="00646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EE588E" w:rsidRDefault="00EE58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E588E" w:rsidRDefault="00EE58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2DE4D72D" w:rsidR="00EE588E" w:rsidRDefault="00EE58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05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5A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8F397" w14:textId="77777777" w:rsidR="00646EC5" w:rsidRDefault="00646EC5">
      <w:r>
        <w:separator/>
      </w:r>
    </w:p>
  </w:footnote>
  <w:footnote w:type="continuationSeparator" w:id="0">
    <w:p w14:paraId="67850729" w14:textId="77777777" w:rsidR="00646EC5" w:rsidRDefault="00646EC5">
      <w:r>
        <w:continuationSeparator/>
      </w:r>
    </w:p>
  </w:footnote>
  <w:footnote w:type="continuationNotice" w:id="1">
    <w:p w14:paraId="7AB3F3B4" w14:textId="77777777" w:rsidR="00646EC5" w:rsidRDefault="00646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EE588E" w:rsidRDefault="00EE58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6"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7F7A"/>
    <w:multiLevelType w:val="hybridMultilevel"/>
    <w:tmpl w:val="39B67108"/>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C5F56"/>
    <w:multiLevelType w:val="hybridMultilevel"/>
    <w:tmpl w:val="F38E4AEC"/>
    <w:lvl w:ilvl="0" w:tplc="55CE2E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59C0D8E"/>
    <w:multiLevelType w:val="multilevel"/>
    <w:tmpl w:val="5EF2C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748FC"/>
    <w:multiLevelType w:val="hybridMultilevel"/>
    <w:tmpl w:val="E82A2F4C"/>
    <w:lvl w:ilvl="0" w:tplc="E11441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4D3532"/>
    <w:multiLevelType w:val="hybridMultilevel"/>
    <w:tmpl w:val="EDD4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7319F"/>
    <w:multiLevelType w:val="multilevel"/>
    <w:tmpl w:val="C228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2"/>
  </w:num>
  <w:num w:numId="4">
    <w:abstractNumId w:val="12"/>
  </w:num>
  <w:num w:numId="5">
    <w:abstractNumId w:val="37"/>
  </w:num>
  <w:num w:numId="6">
    <w:abstractNumId w:val="38"/>
  </w:num>
  <w:num w:numId="7">
    <w:abstractNumId w:val="36"/>
  </w:num>
  <w:num w:numId="8">
    <w:abstractNumId w:val="11"/>
  </w:num>
  <w:num w:numId="9">
    <w:abstractNumId w:val="16"/>
  </w:num>
  <w:num w:numId="10">
    <w:abstractNumId w:val="20"/>
  </w:num>
  <w:num w:numId="11">
    <w:abstractNumId w:val="21"/>
  </w:num>
  <w:num w:numId="12">
    <w:abstractNumId w:val="6"/>
  </w:num>
  <w:num w:numId="13">
    <w:abstractNumId w:val="18"/>
  </w:num>
  <w:num w:numId="14">
    <w:abstractNumId w:val="3"/>
  </w:num>
  <w:num w:numId="15">
    <w:abstractNumId w:val="26"/>
  </w:num>
  <w:num w:numId="16">
    <w:abstractNumId w:val="39"/>
  </w:num>
  <w:num w:numId="17">
    <w:abstractNumId w:val="22"/>
  </w:num>
  <w:num w:numId="18">
    <w:abstractNumId w:val="4"/>
  </w:num>
  <w:num w:numId="19">
    <w:abstractNumId w:val="28"/>
  </w:num>
  <w:num w:numId="20">
    <w:abstractNumId w:val="9"/>
  </w:num>
  <w:num w:numId="21">
    <w:abstractNumId w:val="13"/>
  </w:num>
  <w:num w:numId="22">
    <w:abstractNumId w:val="35"/>
  </w:num>
  <w:num w:numId="23">
    <w:abstractNumId w:val="24"/>
  </w:num>
  <w:num w:numId="24">
    <w:abstractNumId w:val="7"/>
  </w:num>
  <w:num w:numId="25">
    <w:abstractNumId w:val="32"/>
  </w:num>
  <w:num w:numId="26">
    <w:abstractNumId w:val="31"/>
  </w:num>
  <w:num w:numId="27">
    <w:abstractNumId w:val="15"/>
  </w:num>
  <w:num w:numId="28">
    <w:abstractNumId w:val="30"/>
  </w:num>
  <w:num w:numId="29">
    <w:abstractNumId w:val="27"/>
  </w:num>
  <w:num w:numId="30">
    <w:abstractNumId w:val="19"/>
  </w:num>
  <w:num w:numId="31">
    <w:abstractNumId w:val="33"/>
  </w:num>
  <w:num w:numId="32">
    <w:abstractNumId w:val="11"/>
  </w:num>
  <w:num w:numId="33">
    <w:abstractNumId w:val="40"/>
  </w:num>
  <w:num w:numId="34">
    <w:abstractNumId w:val="25"/>
  </w:num>
  <w:num w:numId="35">
    <w:abstractNumId w:val="30"/>
  </w:num>
  <w:num w:numId="36">
    <w:abstractNumId w:val="5"/>
  </w:num>
  <w:num w:numId="37">
    <w:abstractNumId w:val="1"/>
  </w:num>
  <w:num w:numId="38">
    <w:abstractNumId w:val="23"/>
  </w:num>
  <w:num w:numId="39">
    <w:abstractNumId w:val="17"/>
  </w:num>
  <w:num w:numId="40">
    <w:abstractNumId w:val="8"/>
  </w:num>
  <w:num w:numId="41">
    <w:abstractNumId w:val="14"/>
  </w:num>
  <w:num w:numId="42">
    <w:abstractNumId w:val="29"/>
  </w:num>
  <w:num w:numId="43">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92"/>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0D"/>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AE"/>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245"/>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1B40"/>
    <w:rsid w:val="0011230B"/>
    <w:rsid w:val="001126ED"/>
    <w:rsid w:val="00112975"/>
    <w:rsid w:val="00112B8F"/>
    <w:rsid w:val="001134DA"/>
    <w:rsid w:val="0011351F"/>
    <w:rsid w:val="0011372B"/>
    <w:rsid w:val="001139E7"/>
    <w:rsid w:val="00113D8F"/>
    <w:rsid w:val="00113F0E"/>
    <w:rsid w:val="001140FA"/>
    <w:rsid w:val="001141CF"/>
    <w:rsid w:val="00114379"/>
    <w:rsid w:val="001146A3"/>
    <w:rsid w:val="001146C1"/>
    <w:rsid w:val="001146C6"/>
    <w:rsid w:val="001147B8"/>
    <w:rsid w:val="00114949"/>
    <w:rsid w:val="00114E61"/>
    <w:rsid w:val="00114EA7"/>
    <w:rsid w:val="0011536C"/>
    <w:rsid w:val="00115716"/>
    <w:rsid w:val="0011584C"/>
    <w:rsid w:val="001158D5"/>
    <w:rsid w:val="00115EA2"/>
    <w:rsid w:val="00116339"/>
    <w:rsid w:val="00116A2D"/>
    <w:rsid w:val="00117070"/>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855"/>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577C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3E20"/>
    <w:rsid w:val="001B4094"/>
    <w:rsid w:val="001B41E4"/>
    <w:rsid w:val="001B4371"/>
    <w:rsid w:val="001B510D"/>
    <w:rsid w:val="001B5332"/>
    <w:rsid w:val="001B54E9"/>
    <w:rsid w:val="001B55DE"/>
    <w:rsid w:val="001B6470"/>
    <w:rsid w:val="001B6740"/>
    <w:rsid w:val="001B7066"/>
    <w:rsid w:val="001B70CF"/>
    <w:rsid w:val="001B748B"/>
    <w:rsid w:val="001B7905"/>
    <w:rsid w:val="001B7FA0"/>
    <w:rsid w:val="001C0085"/>
    <w:rsid w:val="001C02C2"/>
    <w:rsid w:val="001C05EB"/>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1EC4"/>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89B"/>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4B6C"/>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3D6"/>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12A"/>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5FE9"/>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62F9"/>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08"/>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532"/>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2A2"/>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5AD"/>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4A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6AD"/>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527"/>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3A38"/>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91C"/>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41E"/>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29A"/>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6EC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3F"/>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0C2"/>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9FF"/>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B6D"/>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C17"/>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0ED"/>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0C"/>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5F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4C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5BB6"/>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07E"/>
    <w:rsid w:val="00980161"/>
    <w:rsid w:val="00980403"/>
    <w:rsid w:val="009804CB"/>
    <w:rsid w:val="009809DD"/>
    <w:rsid w:val="00980ACA"/>
    <w:rsid w:val="00980F14"/>
    <w:rsid w:val="00981078"/>
    <w:rsid w:val="00981281"/>
    <w:rsid w:val="009816DB"/>
    <w:rsid w:val="00981BAF"/>
    <w:rsid w:val="00982038"/>
    <w:rsid w:val="00982314"/>
    <w:rsid w:val="009824A5"/>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BE"/>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33"/>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7EC"/>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3B"/>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615"/>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65AE"/>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7C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50F"/>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60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702"/>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334"/>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41F"/>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4B7"/>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5F"/>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333"/>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8EF"/>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A93"/>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2F"/>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52B"/>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3B"/>
    <w:rsid w:val="00EE588E"/>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98"/>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237605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82100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089075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0185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02116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68593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HR33RHYHUWRF-4-6325</_dlc_DocId>
    <_dlc_DocIdUrl xmlns="c06861ca-3f08-4d07-bff7-bb15bac121f4">
      <Url>https://projects.qualcomm.com/sites/pentari/_layouts/15/DocIdRedir.aspx?ID=HR33RHYHUWRF-4-6325</Url>
      <Description>HR33RHYHUWRF-4-6325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52A3C85-050D-4D9C-8A68-E7A6F6AA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63</cp:revision>
  <cp:lastPrinted>2017-03-25T00:57:00Z</cp:lastPrinted>
  <dcterms:created xsi:type="dcterms:W3CDTF">2017-10-12T10:21:00Z</dcterms:created>
  <dcterms:modified xsi:type="dcterms:W3CDTF">2018-01-13T04:17:00Z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743636bc-f6aa-41ea-8f64-6dc4e5a3f27b</vt:lpwstr>
  </property>
  <property fmtid="{D5CDD505-2E9C-101B-9397-08002B2CF9AE}" pid="4" name="ContentTypeId">
    <vt:lpwstr>0x010100BC29BFD66497B943AA3B102F0C7B1355</vt:lpwstr>
  </property>
</Properties>
</file>